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4AC97337"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sidR="00A814E0">
        <w:rPr>
          <w:rFonts w:ascii="Arial" w:hAnsi="Arial" w:cs="Arial"/>
          <w:b/>
          <w:sz w:val="24"/>
        </w:rPr>
        <w:t>1</w:t>
      </w:r>
      <w:r w:rsidR="005F1C45">
        <w:rPr>
          <w:rFonts w:ascii="Arial" w:hAnsi="Arial" w:cs="Arial"/>
          <w:b/>
          <w:sz w:val="24"/>
        </w:rPr>
        <w:t>4</w:t>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814E0">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1940B8" w:rsidRPr="001940B8">
        <w:rPr>
          <w:rFonts w:ascii="Arial" w:hAnsi="Arial" w:cs="Arial"/>
          <w:b/>
          <w:sz w:val="24"/>
        </w:rPr>
        <w:t>R4-250029</w:t>
      </w:r>
      <w:r w:rsidR="00CC4FD3">
        <w:rPr>
          <w:rFonts w:ascii="Arial" w:hAnsi="Arial" w:cs="Arial"/>
          <w:b/>
          <w:sz w:val="24"/>
        </w:rPr>
        <w:t>2</w:t>
      </w:r>
    </w:p>
    <w:p w14:paraId="5B9CF4B1" w14:textId="614A0EC7" w:rsidR="00BD6168" w:rsidRDefault="005F1C45"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sidR="00A814E0">
        <w:rPr>
          <w:rFonts w:ascii="Arial" w:hAnsi="Arial" w:cs="Arial"/>
          <w:b/>
          <w:sz w:val="24"/>
        </w:rPr>
        <w:t>1</w:t>
      </w:r>
      <w:r>
        <w:rPr>
          <w:rFonts w:ascii="Arial" w:hAnsi="Arial" w:cs="Arial"/>
          <w:b/>
          <w:sz w:val="24"/>
        </w:rPr>
        <w:t>7</w:t>
      </w:r>
      <w:r w:rsidR="000A7A0F" w:rsidRPr="000A7A0F">
        <w:rPr>
          <w:rFonts w:ascii="Arial" w:hAnsi="Arial" w:cs="Arial"/>
          <w:b/>
          <w:sz w:val="24"/>
        </w:rPr>
        <w:t xml:space="preserve">th – </w:t>
      </w:r>
      <w:r w:rsidR="00A814E0">
        <w:rPr>
          <w:rFonts w:ascii="Arial" w:hAnsi="Arial" w:cs="Arial"/>
          <w:b/>
          <w:sz w:val="24"/>
        </w:rPr>
        <w:t>2</w:t>
      </w:r>
      <w:r>
        <w:rPr>
          <w:rFonts w:ascii="Arial" w:hAnsi="Arial" w:cs="Arial"/>
          <w:b/>
          <w:sz w:val="24"/>
        </w:rPr>
        <w:t>1st</w:t>
      </w:r>
      <w:r w:rsidR="000A7A0F" w:rsidRPr="000A7A0F">
        <w:rPr>
          <w:rFonts w:ascii="Arial" w:hAnsi="Arial" w:cs="Arial"/>
          <w:b/>
          <w:sz w:val="24"/>
        </w:rPr>
        <w:t xml:space="preserve"> </w:t>
      </w:r>
      <w:r>
        <w:rPr>
          <w:rFonts w:ascii="Arial" w:hAnsi="Arial" w:cs="Arial"/>
          <w:b/>
          <w:sz w:val="24"/>
        </w:rPr>
        <w:t>February</w:t>
      </w:r>
      <w:r w:rsidR="000A7A0F"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178FBB0" w:rsidR="00D309CC" w:rsidRPr="006C351C" w:rsidRDefault="00D309CC" w:rsidP="000A7A0F">
      <w:pPr>
        <w:pStyle w:val="CH"/>
        <w:ind w:left="2260" w:hanging="2260"/>
        <w:rPr>
          <w:b w:val="0"/>
        </w:rPr>
      </w:pPr>
      <w:r w:rsidRPr="0008103A">
        <w:t>Agenda item:</w:t>
      </w:r>
      <w:r>
        <w:tab/>
      </w:r>
      <w:r w:rsidR="00C27A92">
        <w:t>6.</w:t>
      </w:r>
      <w:r w:rsidR="00CC4FD3">
        <w:t>20</w:t>
      </w:r>
      <w:r w:rsidR="00C27A92">
        <w:t>.</w:t>
      </w:r>
      <w:r w:rsidR="00CC4FD3">
        <w:t>1</w:t>
      </w:r>
    </w:p>
    <w:p w14:paraId="4DBE005A" w14:textId="30CE7A7B" w:rsidR="00D309CC" w:rsidRPr="006C351C" w:rsidRDefault="00D309CC" w:rsidP="00E27B54">
      <w:pPr>
        <w:pStyle w:val="CH"/>
        <w:rPr>
          <w:b w:val="0"/>
        </w:rPr>
      </w:pPr>
      <w:r w:rsidRPr="006C351C">
        <w:t>Source:</w:t>
      </w:r>
      <w:r w:rsidRPr="006C351C">
        <w:tab/>
      </w:r>
      <w:r w:rsidR="00881CD6" w:rsidRPr="00881CD6">
        <w:t>Apple</w:t>
      </w:r>
    </w:p>
    <w:p w14:paraId="0D2061A1" w14:textId="61D6F9C5" w:rsidR="00D309CC" w:rsidRPr="006C351C" w:rsidRDefault="00D309CC" w:rsidP="003F59B1">
      <w:pPr>
        <w:pStyle w:val="CH"/>
        <w:ind w:left="2260" w:hanging="2260"/>
      </w:pPr>
      <w:r w:rsidRPr="006C351C">
        <w:t>Title:</w:t>
      </w:r>
      <w:r w:rsidRPr="006C351C">
        <w:tab/>
      </w:r>
      <w:r w:rsidR="00CC4FD3" w:rsidRPr="00CC4FD3">
        <w:t>Emission requirements for the UE operating in 1626.5-1660.5MHz and 1668-1675MHz UL frequency ranges</w:t>
      </w:r>
    </w:p>
    <w:p w14:paraId="052B1E0C" w14:textId="64E8CDBA" w:rsidR="00104BC6" w:rsidRPr="00D867DB" w:rsidRDefault="00104BC6" w:rsidP="00E27B54">
      <w:pPr>
        <w:pStyle w:val="CH"/>
        <w:rPr>
          <w:lang w:val="en-DE"/>
        </w:rPr>
      </w:pPr>
      <w:r w:rsidRPr="002A4457">
        <w:t>WI/SI:</w:t>
      </w:r>
      <w:r w:rsidRPr="002A4457">
        <w:tab/>
      </w:r>
      <w:r w:rsidR="00CC4FD3" w:rsidRPr="00CC4FD3">
        <w:rPr>
          <w:lang w:val="en-DE"/>
        </w:rPr>
        <w:t>NR_NTN_combinedLband-Core</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7D22476C" w14:textId="558991F0" w:rsidR="00CD5226"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However, already</w:t>
      </w:r>
      <w:r w:rsidR="00424A4D">
        <w:t xml:space="preserve"> at</w:t>
      </w:r>
      <w:r>
        <w:t xml:space="preserve">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r w:rsidR="00A475ED">
        <w:t xml:space="preserve"> For instance</w:t>
      </w:r>
      <w:r w:rsidR="005C6D6D">
        <w:t xml:space="preserve">, </w:t>
      </w:r>
      <w:r w:rsidR="00A475ED">
        <w:t>after</w:t>
      </w:r>
      <w:r w:rsidR="005C6D6D">
        <w:t xml:space="preserve"> the RAN#98 meeting a new Rel-18 NTN spectrum WI was agreed with the objective of adding support for a new NTN band </w:t>
      </w:r>
      <w:r w:rsidR="0048636D">
        <w:t xml:space="preserve">(band n254) </w:t>
      </w:r>
      <w:r w:rsidR="005C6D6D">
        <w:t xml:space="preserve">where the UL is on the L-band and the DL is on the S-band </w:t>
      </w:r>
      <w:r w:rsidR="005C6D6D">
        <w:fldChar w:fldCharType="begin"/>
      </w:r>
      <w:r w:rsidR="005C6D6D">
        <w:instrText xml:space="preserve"> REF _Ref126142327 \r \h </w:instrText>
      </w:r>
      <w:r w:rsidR="00424A4D">
        <w:instrText xml:space="preserve"> \* MERGEFORMAT </w:instrText>
      </w:r>
      <w:r w:rsidR="005C6D6D">
        <w:fldChar w:fldCharType="separate"/>
      </w:r>
      <w:r w:rsidR="005C6D6D">
        <w:t>[2]</w:t>
      </w:r>
      <w:r w:rsidR="005C6D6D">
        <w:fldChar w:fldCharType="end"/>
      </w:r>
      <w:r w:rsidR="005C6D6D" w:rsidRPr="00C110E5">
        <w:t>.</w:t>
      </w:r>
      <w:r w:rsidR="005C6D6D">
        <w:t xml:space="preserve"> </w:t>
      </w:r>
    </w:p>
    <w:p w14:paraId="01692701" w14:textId="4D6D9515" w:rsidR="00A475ED" w:rsidRDefault="00690379" w:rsidP="00966007">
      <w:pPr>
        <w:jc w:val="both"/>
      </w:pPr>
      <w:r>
        <w:t>A</w:t>
      </w:r>
      <w:r w:rsidR="00B509ED" w:rsidRPr="00B509ED">
        <w:t xml:space="preserve">fter the RAN#104 meeting another spectrum WI was agreed </w:t>
      </w:r>
      <w:r w:rsidR="00CC4FD3">
        <w:t xml:space="preserve">to introduce new bands operating in </w:t>
      </w:r>
      <w:r w:rsidR="00B509ED" w:rsidRPr="00B509ED">
        <w:t xml:space="preserve">the </w:t>
      </w:r>
      <w:r w:rsidR="00CC4FD3">
        <w:t>L</w:t>
      </w:r>
      <w:r w:rsidR="00B509ED" w:rsidRPr="00B509ED">
        <w:t>-band frequency range</w:t>
      </w:r>
      <w:r w:rsidR="00B509ED">
        <w:t xml:space="preserve"> </w:t>
      </w:r>
      <w:r w:rsidR="00B509ED">
        <w:fldChar w:fldCharType="begin"/>
      </w:r>
      <w:r w:rsidR="00B509ED">
        <w:instrText xml:space="preserve"> REF _Ref178775453 \r \h </w:instrText>
      </w:r>
      <w:r w:rsidR="00B509ED">
        <w:fldChar w:fldCharType="separate"/>
      </w:r>
      <w:r w:rsidR="00B509ED">
        <w:t>[3]</w:t>
      </w:r>
      <w:r w:rsidR="00B509ED">
        <w:fldChar w:fldCharType="end"/>
      </w:r>
      <w:r w:rsidR="00B509ED" w:rsidRPr="00B509ED">
        <w:t>.</w:t>
      </w:r>
      <w:r w:rsidR="00CD5226">
        <w:t xml:space="preserve"> </w:t>
      </w:r>
      <w:r w:rsidR="000F450C">
        <w:t xml:space="preserve">In this discussion paper we present a short overview of the existing ETSI requirements that govern UE operation in the frequency ranges corresponding to the considered L-bands. </w:t>
      </w:r>
      <w:r w:rsidR="00CD5226">
        <w:t xml:space="preserve">   </w:t>
      </w:r>
    </w:p>
    <w:p w14:paraId="6078594E" w14:textId="6CEDCB1D" w:rsidR="00DE6BE6" w:rsidRDefault="00FC371C" w:rsidP="00E65966">
      <w:pPr>
        <w:pStyle w:val="Heading1"/>
        <w:keepNext w:val="0"/>
        <w:keepLines w:val="0"/>
      </w:pPr>
      <w:r>
        <w:t>2</w:t>
      </w:r>
      <w:r>
        <w:tab/>
      </w:r>
      <w:r w:rsidR="00811CD6">
        <w:t>Regulatory</w:t>
      </w:r>
      <w:r w:rsidR="000F450C">
        <w:t xml:space="preserve"> requirements for L-bands</w:t>
      </w:r>
    </w:p>
    <w:p w14:paraId="0C3974EF" w14:textId="7FFD18AC" w:rsidR="00811CD6" w:rsidRDefault="00811CD6" w:rsidP="00811CD6">
      <w:pPr>
        <w:pStyle w:val="Heading2"/>
      </w:pPr>
      <w:r>
        <w:t>2.1</w:t>
      </w:r>
      <w:r>
        <w:tab/>
        <w:t>Background and ETSI L-band frequency arrangements</w:t>
      </w:r>
    </w:p>
    <w:p w14:paraId="37586D10" w14:textId="79960B39" w:rsidR="000F450C" w:rsidRDefault="000F450C" w:rsidP="007026F3">
      <w:pPr>
        <w:jc w:val="both"/>
      </w:pPr>
      <w:r>
        <w:t>One of the key aspects for a correct introduction of a band to the 3GPP core specifications is a complete set of regulatory requirements from the regions, where the considered band is going to be used. And since satellite bands are intended to be deployed on a large geographical scale, it becomes especially crucial and important to reflect the corresponding requirements so that a band can be activated in desired geographical areas.</w:t>
      </w:r>
    </w:p>
    <w:p w14:paraId="112D3A5F" w14:textId="28C3C1DE" w:rsidR="007026F3" w:rsidRDefault="000F450C" w:rsidP="007026F3">
      <w:pPr>
        <w:jc w:val="both"/>
      </w:pPr>
      <w:r>
        <w:t xml:space="preserve">The satellite L-bands are regulated by </w:t>
      </w:r>
      <w:proofErr w:type="gramStart"/>
      <w:r>
        <w:t>a number of</w:t>
      </w:r>
      <w:proofErr w:type="gramEnd"/>
      <w:r>
        <w:t xml:space="preserve"> documents including ETSI requirements, such as </w:t>
      </w:r>
      <w:r w:rsidR="00937382" w:rsidRPr="00937382">
        <w:t>ETSI EN 301441</w:t>
      </w:r>
      <w:r w:rsidR="00937382">
        <w:t xml:space="preserve"> and EN 301681. It should be noted that ETSI EN 301441 covers the case when the L-band has only UL allocation at 1.6GHz, while the DL part is in the S-band at 2.5GHz; this combination has been introduced as 3GPP NTN band n254. On the contrary to it, ETSI EN 301681 covers the case when both DL and UL are in the L-band frequency range (more precisely 1.5GHz for the DL block and 1.6GHz for the UL block). </w:t>
      </w:r>
      <w:r w:rsidR="007026F3">
        <w:t xml:space="preserve"> </w:t>
      </w:r>
      <w:r w:rsidR="00937382">
        <w:t xml:space="preserve">The table below from the corresponding ETSI document presents frequency block arrangements, for which additional ETSI specific requirements exist. As can be seen from the table these frequency ranges, sub-bands 1 and 2, corresponding to the considered 3GPP </w:t>
      </w:r>
      <w:r w:rsidR="00462B2E">
        <w:t xml:space="preserve">NTN </w:t>
      </w:r>
      <w:r w:rsidR="00937382">
        <w:t xml:space="preserve">bands. </w:t>
      </w:r>
    </w:p>
    <w:p w14:paraId="273A6C01" w14:textId="5ABA92C0" w:rsidR="00937382" w:rsidRDefault="00937382" w:rsidP="00937382">
      <w:pPr>
        <w:pStyle w:val="TH"/>
      </w:pPr>
      <w:r>
        <w:t>Table 2</w:t>
      </w:r>
      <w:r w:rsidR="00EF0011">
        <w:t>.1-1</w:t>
      </w:r>
      <w:r>
        <w:t>: ETSI EN 301681 frequency block arrangements.</w:t>
      </w:r>
    </w:p>
    <w:p w14:paraId="084A279A" w14:textId="7EF40AD6" w:rsidR="00937382" w:rsidRDefault="00937382" w:rsidP="00946D3E">
      <w:pPr>
        <w:jc w:val="center"/>
      </w:pPr>
      <w:r w:rsidRPr="00937382">
        <w:rPr>
          <w:noProof/>
        </w:rPr>
        <w:drawing>
          <wp:inline distT="0" distB="0" distL="0" distR="0" wp14:anchorId="7350A614" wp14:editId="072BB4D6">
            <wp:extent cx="4106969" cy="566141"/>
            <wp:effectExtent l="0" t="0" r="0" b="5715"/>
            <wp:docPr id="103396017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60179" name="Picture 1" descr="A white background with black text&#10;&#10;AI-generated content may be incorrect."/>
                    <pic:cNvPicPr/>
                  </pic:nvPicPr>
                  <pic:blipFill>
                    <a:blip r:embed="rId9"/>
                    <a:stretch>
                      <a:fillRect/>
                    </a:stretch>
                  </pic:blipFill>
                  <pic:spPr>
                    <a:xfrm>
                      <a:off x="0" y="0"/>
                      <a:ext cx="4240758" cy="584584"/>
                    </a:xfrm>
                    <a:prstGeom prst="rect">
                      <a:avLst/>
                    </a:prstGeom>
                  </pic:spPr>
                </pic:pic>
              </a:graphicData>
            </a:graphic>
          </wp:inline>
        </w:drawing>
      </w:r>
    </w:p>
    <w:p w14:paraId="4DD834C4" w14:textId="77777777" w:rsidR="00C119FD" w:rsidRDefault="00C119FD" w:rsidP="00D671FD"/>
    <w:p w14:paraId="12E33510" w14:textId="0B67EB87" w:rsidR="00946D3E" w:rsidRDefault="00946D3E" w:rsidP="00946D3E">
      <w:pPr>
        <w:pStyle w:val="Heading2"/>
      </w:pPr>
      <w:r>
        <w:lastRenderedPageBreak/>
        <w:t>2.2</w:t>
      </w:r>
      <w:r>
        <w:tab/>
        <w:t>Emission requirements for L-band</w:t>
      </w:r>
      <w:r w:rsidR="001F267C">
        <w:t>s</w:t>
      </w:r>
      <w:r>
        <w:t xml:space="preserve"> (in- and out-of-band)</w:t>
      </w:r>
    </w:p>
    <w:p w14:paraId="33CA4800" w14:textId="77777777" w:rsidR="00946D3E" w:rsidRDefault="00946D3E" w:rsidP="00D671FD">
      <w:r>
        <w:t>Referring to sub-clause 4.2.2 in ETSI EN 301681, the following in-band emission requirements are defined for a device operating in either sub-band 1 or sub-band 2. It should be noted that there are two sets of requirements which have slightly different "shape" of the resulting emission mask. Nevertheless, these emission masks are not the same as the existing NR general mask adopted for NTN.</w:t>
      </w:r>
    </w:p>
    <w:p w14:paraId="03484378" w14:textId="77777777" w:rsidR="00F42EA6" w:rsidRDefault="00F42EA6" w:rsidP="00D671FD"/>
    <w:p w14:paraId="6448C71F" w14:textId="7CFE43FB" w:rsidR="00946D3E" w:rsidRDefault="00946D3E" w:rsidP="00D671FD">
      <w:r w:rsidRPr="00946D3E">
        <w:rPr>
          <w:noProof/>
        </w:rPr>
        <w:drawing>
          <wp:inline distT="0" distB="0" distL="0" distR="0" wp14:anchorId="062D6237" wp14:editId="7FF9B6EB">
            <wp:extent cx="2743200" cy="727271"/>
            <wp:effectExtent l="0" t="0" r="0" b="0"/>
            <wp:docPr id="1487461288"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10"/>
                    <a:stretch>
                      <a:fillRect/>
                    </a:stretch>
                  </pic:blipFill>
                  <pic:spPr>
                    <a:xfrm>
                      <a:off x="0" y="0"/>
                      <a:ext cx="2789924" cy="739658"/>
                    </a:xfrm>
                    <a:prstGeom prst="rect">
                      <a:avLst/>
                    </a:prstGeom>
                  </pic:spPr>
                </pic:pic>
              </a:graphicData>
            </a:graphic>
          </wp:inline>
        </w:drawing>
      </w:r>
      <w:r>
        <w:t xml:space="preserve">     </w:t>
      </w:r>
      <w:r w:rsidRPr="00946D3E">
        <w:rPr>
          <w:noProof/>
        </w:rPr>
        <w:drawing>
          <wp:inline distT="0" distB="0" distL="0" distR="0" wp14:anchorId="4182E51A" wp14:editId="16B52963">
            <wp:extent cx="3200400" cy="2020956"/>
            <wp:effectExtent l="0" t="0" r="0" b="0"/>
            <wp:docPr id="216503175"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11"/>
                    <a:stretch>
                      <a:fillRect/>
                    </a:stretch>
                  </pic:blipFill>
                  <pic:spPr>
                    <a:xfrm>
                      <a:off x="0" y="0"/>
                      <a:ext cx="3223783" cy="2035722"/>
                    </a:xfrm>
                    <a:prstGeom prst="rect">
                      <a:avLst/>
                    </a:prstGeom>
                  </pic:spPr>
                </pic:pic>
              </a:graphicData>
            </a:graphic>
          </wp:inline>
        </w:drawing>
      </w:r>
    </w:p>
    <w:p w14:paraId="54E793C7" w14:textId="2ABC81EC" w:rsidR="00946D3E" w:rsidRDefault="00946D3E" w:rsidP="00946D3E">
      <w:pPr>
        <w:pStyle w:val="TF"/>
      </w:pPr>
      <w:r>
        <w:t xml:space="preserve">Figure 2.2-1: </w:t>
      </w:r>
      <w:r w:rsidR="005238C8">
        <w:t>ETSI i</w:t>
      </w:r>
      <w:r>
        <w:t xml:space="preserve">n-band emission masks for a device operating in </w:t>
      </w:r>
      <w:r w:rsidRPr="00946D3E">
        <w:t>1626.5-1660.5MHz and 1668-1675MHz</w:t>
      </w:r>
    </w:p>
    <w:p w14:paraId="7625C643" w14:textId="77777777" w:rsidR="005238C8" w:rsidRDefault="005238C8" w:rsidP="00D671FD"/>
    <w:p w14:paraId="3691C43B" w14:textId="1EED11EB" w:rsidR="00946D3E" w:rsidRDefault="00946D3E" w:rsidP="00D671FD">
      <w:r>
        <w:t>In addition to the in-band emission requirements, ETSI EN 301681 also defines out-of-band emission requirements as presented below</w:t>
      </w:r>
      <w:r w:rsidR="00462BFD">
        <w:t xml:space="preserve"> in Figure 2.2-2 (refer to sub-clause 4.2.1 in the</w:t>
      </w:r>
      <w:r w:rsidR="00462BFD" w:rsidRPr="00462BFD">
        <w:t xml:space="preserve"> </w:t>
      </w:r>
      <w:r w:rsidR="00462BFD">
        <w:t>ETSI EN 301681 for a complete technical description)</w:t>
      </w:r>
      <w:r>
        <w:t>.</w:t>
      </w:r>
      <w:r w:rsidR="00000CAC">
        <w:t xml:space="preserve"> So</w:t>
      </w:r>
      <w:r w:rsidR="00F141EA">
        <w:t xml:space="preserve">, </w:t>
      </w:r>
      <w:r w:rsidR="00000CAC">
        <w:t>while the table on the left</w:t>
      </w:r>
      <w:r w:rsidR="00F141EA">
        <w:t>-</w:t>
      </w:r>
      <w:r w:rsidR="00000CAC">
        <w:t xml:space="preserve">hand side is applicable to a device capable of operating in </w:t>
      </w:r>
      <w:r w:rsidR="00000CAC" w:rsidRPr="00946D3E">
        <w:t xml:space="preserve">1626.5-1660.5MHz </w:t>
      </w:r>
      <w:r w:rsidR="00000CAC">
        <w:t xml:space="preserve">frequency range, the second table is followed by a device implementing </w:t>
      </w:r>
      <w:r w:rsidR="00000CAC" w:rsidRPr="00000CAC">
        <w:t>1668-1675MHz</w:t>
      </w:r>
      <w:r w:rsidR="00000CAC">
        <w:t xml:space="preserve"> or both sub-bands.</w:t>
      </w:r>
      <w:r>
        <w:t xml:space="preserve"> </w:t>
      </w:r>
    </w:p>
    <w:p w14:paraId="467671E3" w14:textId="77777777" w:rsidR="00F42EA6" w:rsidRDefault="00F42EA6" w:rsidP="00D671FD"/>
    <w:p w14:paraId="52F11E61" w14:textId="491C398E" w:rsidR="00946D3E" w:rsidRDefault="00462BFD" w:rsidP="00D671FD">
      <w:r w:rsidRPr="00462BFD">
        <w:rPr>
          <w:noProof/>
        </w:rPr>
        <w:drawing>
          <wp:inline distT="0" distB="0" distL="0" distR="0" wp14:anchorId="2D281FFE" wp14:editId="4F4AB93D">
            <wp:extent cx="2684103" cy="2243666"/>
            <wp:effectExtent l="0" t="0" r="0" b="4445"/>
            <wp:docPr id="511912832"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2"/>
                    <a:stretch>
                      <a:fillRect/>
                    </a:stretch>
                  </pic:blipFill>
                  <pic:spPr>
                    <a:xfrm>
                      <a:off x="0" y="0"/>
                      <a:ext cx="2704038" cy="2260330"/>
                    </a:xfrm>
                    <a:prstGeom prst="rect">
                      <a:avLst/>
                    </a:prstGeom>
                  </pic:spPr>
                </pic:pic>
              </a:graphicData>
            </a:graphic>
          </wp:inline>
        </w:drawing>
      </w:r>
      <w:r>
        <w:t xml:space="preserve">  </w:t>
      </w:r>
      <w:r w:rsidRPr="00462BFD">
        <w:rPr>
          <w:noProof/>
        </w:rPr>
        <w:drawing>
          <wp:inline distT="0" distB="0" distL="0" distR="0" wp14:anchorId="5AD8CFE8" wp14:editId="0614D096">
            <wp:extent cx="3251200" cy="3285260"/>
            <wp:effectExtent l="0" t="0" r="0" b="4445"/>
            <wp:docPr id="2025095175"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3"/>
                    <a:stretch>
                      <a:fillRect/>
                    </a:stretch>
                  </pic:blipFill>
                  <pic:spPr>
                    <a:xfrm>
                      <a:off x="0" y="0"/>
                      <a:ext cx="3276750" cy="3311077"/>
                    </a:xfrm>
                    <a:prstGeom prst="rect">
                      <a:avLst/>
                    </a:prstGeom>
                  </pic:spPr>
                </pic:pic>
              </a:graphicData>
            </a:graphic>
          </wp:inline>
        </w:drawing>
      </w:r>
    </w:p>
    <w:p w14:paraId="126A5048" w14:textId="6B203484" w:rsidR="00462BFD" w:rsidRDefault="005238C8" w:rsidP="005238C8">
      <w:pPr>
        <w:pStyle w:val="TF"/>
      </w:pPr>
      <w:r>
        <w:t xml:space="preserve">Figure 2.2-2: ETSI out-of-band emission requirements for a device operating in </w:t>
      </w:r>
      <w:r w:rsidRPr="00946D3E">
        <w:t>1626.5-1660.5MHz and 1668-1675MHz</w:t>
      </w:r>
    </w:p>
    <w:p w14:paraId="16204FE4" w14:textId="4EBEF377" w:rsidR="00AB25FE" w:rsidRDefault="005238C8" w:rsidP="005238C8">
      <w:r>
        <w:lastRenderedPageBreak/>
        <w:t xml:space="preserve">As commented </w:t>
      </w:r>
      <w:r w:rsidR="00CB1FA9">
        <w:t xml:space="preserve">earlier </w:t>
      </w:r>
      <w:r>
        <w:t xml:space="preserve">in the background section, the complete definition of the 3GPP band should capture the requirements from all regions where it is intended to be used. And since ETSI requirements are </w:t>
      </w:r>
      <w:r w:rsidR="002311E7">
        <w:t>adopted</w:t>
      </w:r>
      <w:r>
        <w:t xml:space="preserve"> not only in the EU/CEPT area, but also in quite many </w:t>
      </w:r>
      <w:proofErr w:type="gramStart"/>
      <w:r>
        <w:t>Region</w:t>
      </w:r>
      <w:proofErr w:type="gramEnd"/>
      <w:r>
        <w:t xml:space="preserve"> 1 and Region 3 countries, we suggest capturing them in the 3GPP specifications following existing procedures (i.e. sub-clauses capturing additional emission requirements). </w:t>
      </w:r>
      <w:r w:rsidR="00AB25FE">
        <w:t xml:space="preserve">In fact, this what 3GPP already did while capturing ETSI EN requirements for the NTN band n254. </w:t>
      </w:r>
    </w:p>
    <w:p w14:paraId="57792B55" w14:textId="31B6F1DE" w:rsidR="00AB25FE" w:rsidRDefault="00AB25FE" w:rsidP="00AB25FE">
      <w:pPr>
        <w:pStyle w:val="Proposal"/>
      </w:pPr>
      <w:bookmarkStart w:id="1" w:name="_Toc189815608"/>
      <w:r>
        <w:t>Proposal:</w:t>
      </w:r>
      <w:r>
        <w:tab/>
        <w:t>Capture existing in-band and out-of-band emission requirements for L-bands as defined by ETSI EN 301681.</w:t>
      </w:r>
      <w:bookmarkEnd w:id="1"/>
    </w:p>
    <w:p w14:paraId="245E03BD" w14:textId="742F5913" w:rsidR="005238C8" w:rsidRPr="00D671FD" w:rsidRDefault="005238C8" w:rsidP="005238C8">
      <w:r>
        <w:t xml:space="preserve">    </w:t>
      </w:r>
    </w:p>
    <w:p w14:paraId="34C99636" w14:textId="7917B134" w:rsidR="008E7986" w:rsidRDefault="008E7986" w:rsidP="00E27B54">
      <w:pPr>
        <w:pStyle w:val="Heading1"/>
        <w:keepNext w:val="0"/>
        <w:keepLines w:val="0"/>
      </w:pPr>
      <w:r>
        <w:t>3</w:t>
      </w:r>
      <w:r>
        <w:tab/>
        <w:t>Conclusions</w:t>
      </w:r>
    </w:p>
    <w:p w14:paraId="1A8E353D" w14:textId="6BE9A71B" w:rsidR="00B81CF7" w:rsidRDefault="00732096" w:rsidP="00F95CA0">
      <w:pPr>
        <w:jc w:val="both"/>
      </w:pPr>
      <w:r>
        <w:t xml:space="preserve">In this discussion paper we have presented our technical input on the existing ETSI regulations for a device operating UL in the 1.6GHz frequency range. More precisely, there are additional ETSI in- band out-of-band emission requirements for the </w:t>
      </w:r>
      <w:r w:rsidRPr="00732096">
        <w:t>1626.5-1660.5MHz and 1668-1675MHz</w:t>
      </w:r>
      <w:r>
        <w:t xml:space="preserve"> UL blocks. Since these blocks correspond to the considered 3GPP NTN bands, we suggest capturing them accordingly.</w:t>
      </w:r>
    </w:p>
    <w:p w14:paraId="28B5A27E" w14:textId="77777777" w:rsidR="008E6E8C" w:rsidRDefault="008E6E8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Pr>
          <w:noProof/>
        </w:rPr>
        <w:t>Proposal:</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existing in-band and out-of-band emission requirements for L-bands as defined by ETSI EN 301681.</w:t>
      </w:r>
    </w:p>
    <w:p w14:paraId="6D0DED47" w14:textId="5B277505" w:rsidR="002D16A6" w:rsidRPr="00F95CA0" w:rsidRDefault="008E6E8C" w:rsidP="008E6E8C">
      <w:pPr>
        <w:jc w:val="both"/>
      </w:pPr>
      <w:r>
        <w:rPr>
          <w:b/>
          <w:bCs/>
        </w:rPr>
        <w:fldChar w:fldCharType="end"/>
      </w:r>
      <w:r w:rsidR="00B12ADA" w:rsidRPr="00477364">
        <w:fldChar w:fldCharType="begin"/>
      </w:r>
      <w:r w:rsidR="00B12ADA" w:rsidRPr="00477364">
        <w:instrText xml:space="preserve"> TOC \n \t "Proposal,1" </w:instrText>
      </w:r>
      <w:r w:rsidR="00B12ADA" w:rsidRPr="00477364">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2" w:name="_Ref13820109"/>
      <w:r w:rsidRPr="00804854">
        <w:t>RP-193234</w:t>
      </w:r>
      <w:r>
        <w:t>, "</w:t>
      </w:r>
      <w:r w:rsidRPr="00804854">
        <w:t>Solutions for NR to support non-terrestrial networks (NTN)</w:t>
      </w:r>
      <w:r>
        <w:t>", Thales</w:t>
      </w:r>
      <w:bookmarkEnd w:id="2"/>
    </w:p>
    <w:p w14:paraId="6E7B37CC" w14:textId="77777777" w:rsidR="00FF5898" w:rsidRDefault="00FF5898" w:rsidP="00FF5898">
      <w:pPr>
        <w:pStyle w:val="EX"/>
        <w:numPr>
          <w:ilvl w:val="0"/>
          <w:numId w:val="5"/>
        </w:numPr>
      </w:pPr>
      <w:bookmarkStart w:id="3" w:name="_Ref126142327"/>
      <w:r w:rsidRPr="00F55FAD">
        <w:t>RP-223431</w:t>
      </w:r>
      <w:r>
        <w:t>, "</w:t>
      </w:r>
      <w:r w:rsidRPr="00F55FAD">
        <w:t>New WID on Introduction of the satellite L-/S-band</w:t>
      </w:r>
      <w:r>
        <w:t>", Globalstar, Apple</w:t>
      </w:r>
      <w:bookmarkEnd w:id="3"/>
    </w:p>
    <w:p w14:paraId="2339B2C0" w14:textId="6F211768" w:rsidR="00070688" w:rsidRDefault="000F450C" w:rsidP="00A637D0">
      <w:pPr>
        <w:pStyle w:val="EX"/>
      </w:pPr>
      <w:bookmarkStart w:id="4" w:name="_Ref178775453"/>
      <w:r w:rsidRPr="000F450C">
        <w:t>RP-241689</w:t>
      </w:r>
      <w:r w:rsidR="00B509ED" w:rsidRPr="00B509ED">
        <w:t>, "</w:t>
      </w:r>
      <w:r w:rsidRPr="000F450C">
        <w:t xml:space="preserve">Revised WID on New NR NTN bands to support Extended L-band and combined MSS L-band and Extended L-band ranges </w:t>
      </w:r>
      <w:r w:rsidR="00B509ED" w:rsidRPr="00B509ED">
        <w:t xml:space="preserve">", </w:t>
      </w:r>
      <w:bookmarkEnd w:id="0"/>
      <w:bookmarkEnd w:id="4"/>
      <w:r w:rsidRPr="000F450C">
        <w:t>Inmarsat, Viasat</w:t>
      </w:r>
    </w:p>
    <w:sectPr w:rsidR="00070688" w:rsidSect="004B5470">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0CB4" w14:textId="77777777" w:rsidR="00EB7C11" w:rsidRDefault="00EB7C11">
      <w:r>
        <w:separator/>
      </w:r>
    </w:p>
  </w:endnote>
  <w:endnote w:type="continuationSeparator" w:id="0">
    <w:p w14:paraId="1CCF0BF1" w14:textId="77777777" w:rsidR="00EB7C11" w:rsidRDefault="00EB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EC06A" w14:textId="77777777" w:rsidR="00EB7C11" w:rsidRDefault="00EB7C11">
      <w:r>
        <w:separator/>
      </w:r>
    </w:p>
  </w:footnote>
  <w:footnote w:type="continuationSeparator" w:id="0">
    <w:p w14:paraId="2B049486" w14:textId="77777777" w:rsidR="00EB7C11" w:rsidRDefault="00EB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AC"/>
    <w:rsid w:val="00002B84"/>
    <w:rsid w:val="000037B7"/>
    <w:rsid w:val="00004C0C"/>
    <w:rsid w:val="0000727F"/>
    <w:rsid w:val="00013D4E"/>
    <w:rsid w:val="000168FE"/>
    <w:rsid w:val="00022584"/>
    <w:rsid w:val="00024025"/>
    <w:rsid w:val="00025132"/>
    <w:rsid w:val="00026A8F"/>
    <w:rsid w:val="0003171C"/>
    <w:rsid w:val="00033397"/>
    <w:rsid w:val="00033F3B"/>
    <w:rsid w:val="000340EB"/>
    <w:rsid w:val="00040095"/>
    <w:rsid w:val="000430DD"/>
    <w:rsid w:val="000462FF"/>
    <w:rsid w:val="000506CF"/>
    <w:rsid w:val="00050D5E"/>
    <w:rsid w:val="00051834"/>
    <w:rsid w:val="000518D2"/>
    <w:rsid w:val="00052A65"/>
    <w:rsid w:val="00052D38"/>
    <w:rsid w:val="00054A22"/>
    <w:rsid w:val="00055B1E"/>
    <w:rsid w:val="00062023"/>
    <w:rsid w:val="000621AE"/>
    <w:rsid w:val="000629F8"/>
    <w:rsid w:val="00062B99"/>
    <w:rsid w:val="000655A6"/>
    <w:rsid w:val="00070688"/>
    <w:rsid w:val="00070D52"/>
    <w:rsid w:val="0007444D"/>
    <w:rsid w:val="0007793C"/>
    <w:rsid w:val="00080512"/>
    <w:rsid w:val="0008490B"/>
    <w:rsid w:val="00084DB8"/>
    <w:rsid w:val="00085B26"/>
    <w:rsid w:val="000900F3"/>
    <w:rsid w:val="000917BE"/>
    <w:rsid w:val="00093952"/>
    <w:rsid w:val="00093F11"/>
    <w:rsid w:val="00094907"/>
    <w:rsid w:val="00096C65"/>
    <w:rsid w:val="00097675"/>
    <w:rsid w:val="00097A46"/>
    <w:rsid w:val="000A2DDD"/>
    <w:rsid w:val="000A365D"/>
    <w:rsid w:val="000A36E3"/>
    <w:rsid w:val="000A44B6"/>
    <w:rsid w:val="000A530C"/>
    <w:rsid w:val="000A68F3"/>
    <w:rsid w:val="000A7A0F"/>
    <w:rsid w:val="000B0001"/>
    <w:rsid w:val="000B3699"/>
    <w:rsid w:val="000B51EC"/>
    <w:rsid w:val="000B5B22"/>
    <w:rsid w:val="000B6FC9"/>
    <w:rsid w:val="000C023C"/>
    <w:rsid w:val="000C0D87"/>
    <w:rsid w:val="000C1D24"/>
    <w:rsid w:val="000C2808"/>
    <w:rsid w:val="000C47C3"/>
    <w:rsid w:val="000C7248"/>
    <w:rsid w:val="000C7F55"/>
    <w:rsid w:val="000D06A6"/>
    <w:rsid w:val="000D28CD"/>
    <w:rsid w:val="000D5095"/>
    <w:rsid w:val="000D58AB"/>
    <w:rsid w:val="000D7B92"/>
    <w:rsid w:val="000E023D"/>
    <w:rsid w:val="000E3ACF"/>
    <w:rsid w:val="000F450C"/>
    <w:rsid w:val="000F5ABE"/>
    <w:rsid w:val="000F5F19"/>
    <w:rsid w:val="001032BC"/>
    <w:rsid w:val="00103E6B"/>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449DB"/>
    <w:rsid w:val="001502E3"/>
    <w:rsid w:val="00150344"/>
    <w:rsid w:val="001527DF"/>
    <w:rsid w:val="00153861"/>
    <w:rsid w:val="0015733E"/>
    <w:rsid w:val="00161A9C"/>
    <w:rsid w:val="00162B64"/>
    <w:rsid w:val="00162F54"/>
    <w:rsid w:val="00164651"/>
    <w:rsid w:val="00167CB6"/>
    <w:rsid w:val="00171755"/>
    <w:rsid w:val="00176C55"/>
    <w:rsid w:val="00177BF7"/>
    <w:rsid w:val="0018138C"/>
    <w:rsid w:val="00181F79"/>
    <w:rsid w:val="001825A5"/>
    <w:rsid w:val="001932FD"/>
    <w:rsid w:val="001940B8"/>
    <w:rsid w:val="001940D3"/>
    <w:rsid w:val="00194641"/>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11D4"/>
    <w:rsid w:val="001E21EA"/>
    <w:rsid w:val="001E44ED"/>
    <w:rsid w:val="001E4F2C"/>
    <w:rsid w:val="001F0C1D"/>
    <w:rsid w:val="001F1132"/>
    <w:rsid w:val="001F168B"/>
    <w:rsid w:val="001F267C"/>
    <w:rsid w:val="001F529E"/>
    <w:rsid w:val="001F5781"/>
    <w:rsid w:val="001F7D60"/>
    <w:rsid w:val="001F7F82"/>
    <w:rsid w:val="00200328"/>
    <w:rsid w:val="00203852"/>
    <w:rsid w:val="002038BC"/>
    <w:rsid w:val="00203F71"/>
    <w:rsid w:val="00204BA8"/>
    <w:rsid w:val="00205BC2"/>
    <w:rsid w:val="00215DAD"/>
    <w:rsid w:val="0021693C"/>
    <w:rsid w:val="002311E7"/>
    <w:rsid w:val="002347A2"/>
    <w:rsid w:val="002349A1"/>
    <w:rsid w:val="00234D6F"/>
    <w:rsid w:val="002361C7"/>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6720"/>
    <w:rsid w:val="00276EE4"/>
    <w:rsid w:val="0028060A"/>
    <w:rsid w:val="00282556"/>
    <w:rsid w:val="0028458C"/>
    <w:rsid w:val="00285549"/>
    <w:rsid w:val="00285B74"/>
    <w:rsid w:val="00293332"/>
    <w:rsid w:val="002A006D"/>
    <w:rsid w:val="002A02C9"/>
    <w:rsid w:val="002A3F44"/>
    <w:rsid w:val="002A4198"/>
    <w:rsid w:val="002A4457"/>
    <w:rsid w:val="002A76C8"/>
    <w:rsid w:val="002A79F8"/>
    <w:rsid w:val="002B0881"/>
    <w:rsid w:val="002B1504"/>
    <w:rsid w:val="002B4E57"/>
    <w:rsid w:val="002B6339"/>
    <w:rsid w:val="002C3FD9"/>
    <w:rsid w:val="002C5078"/>
    <w:rsid w:val="002C5A06"/>
    <w:rsid w:val="002D16A6"/>
    <w:rsid w:val="002D207F"/>
    <w:rsid w:val="002D2630"/>
    <w:rsid w:val="002D4C09"/>
    <w:rsid w:val="002D7E68"/>
    <w:rsid w:val="002E00EE"/>
    <w:rsid w:val="002E24A2"/>
    <w:rsid w:val="002E2B0B"/>
    <w:rsid w:val="002E4080"/>
    <w:rsid w:val="002F662D"/>
    <w:rsid w:val="002F6BE3"/>
    <w:rsid w:val="002F6F2B"/>
    <w:rsid w:val="002F747C"/>
    <w:rsid w:val="0030293A"/>
    <w:rsid w:val="003040C1"/>
    <w:rsid w:val="00304790"/>
    <w:rsid w:val="00304DE1"/>
    <w:rsid w:val="00305671"/>
    <w:rsid w:val="00305920"/>
    <w:rsid w:val="0031301F"/>
    <w:rsid w:val="003131E0"/>
    <w:rsid w:val="0031353C"/>
    <w:rsid w:val="003136A6"/>
    <w:rsid w:val="00316AE1"/>
    <w:rsid w:val="00317127"/>
    <w:rsid w:val="003172DC"/>
    <w:rsid w:val="003224F0"/>
    <w:rsid w:val="0032260E"/>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4647"/>
    <w:rsid w:val="00395441"/>
    <w:rsid w:val="00396104"/>
    <w:rsid w:val="00396119"/>
    <w:rsid w:val="003A0483"/>
    <w:rsid w:val="003A0541"/>
    <w:rsid w:val="003A4243"/>
    <w:rsid w:val="003A5C0D"/>
    <w:rsid w:val="003A6046"/>
    <w:rsid w:val="003B07F2"/>
    <w:rsid w:val="003B47E1"/>
    <w:rsid w:val="003B4BAF"/>
    <w:rsid w:val="003B5ABB"/>
    <w:rsid w:val="003B6864"/>
    <w:rsid w:val="003C15C2"/>
    <w:rsid w:val="003C3971"/>
    <w:rsid w:val="003C44E8"/>
    <w:rsid w:val="003C65F9"/>
    <w:rsid w:val="003D17F9"/>
    <w:rsid w:val="003D2F2E"/>
    <w:rsid w:val="003D6351"/>
    <w:rsid w:val="003E249B"/>
    <w:rsid w:val="003E390C"/>
    <w:rsid w:val="003E7753"/>
    <w:rsid w:val="003F4198"/>
    <w:rsid w:val="003F59B1"/>
    <w:rsid w:val="003F67A7"/>
    <w:rsid w:val="003F68E6"/>
    <w:rsid w:val="003F7C3F"/>
    <w:rsid w:val="00400A77"/>
    <w:rsid w:val="004012FF"/>
    <w:rsid w:val="00410303"/>
    <w:rsid w:val="004161BB"/>
    <w:rsid w:val="00416AC7"/>
    <w:rsid w:val="0042139E"/>
    <w:rsid w:val="00421933"/>
    <w:rsid w:val="0042311F"/>
    <w:rsid w:val="00423334"/>
    <w:rsid w:val="00424A4D"/>
    <w:rsid w:val="00430D10"/>
    <w:rsid w:val="00434540"/>
    <w:rsid w:val="004345EC"/>
    <w:rsid w:val="00434E7E"/>
    <w:rsid w:val="00443B1F"/>
    <w:rsid w:val="004509C1"/>
    <w:rsid w:val="0045109D"/>
    <w:rsid w:val="004517D4"/>
    <w:rsid w:val="00453AE1"/>
    <w:rsid w:val="00461B71"/>
    <w:rsid w:val="00462B2E"/>
    <w:rsid w:val="00462BFD"/>
    <w:rsid w:val="00463255"/>
    <w:rsid w:val="004634D0"/>
    <w:rsid w:val="0046714E"/>
    <w:rsid w:val="00467D7B"/>
    <w:rsid w:val="00467E11"/>
    <w:rsid w:val="004709C4"/>
    <w:rsid w:val="00471AE2"/>
    <w:rsid w:val="00476248"/>
    <w:rsid w:val="004826A9"/>
    <w:rsid w:val="004837BD"/>
    <w:rsid w:val="00485965"/>
    <w:rsid w:val="0048636D"/>
    <w:rsid w:val="004865B0"/>
    <w:rsid w:val="00487E97"/>
    <w:rsid w:val="004909BB"/>
    <w:rsid w:val="0049129B"/>
    <w:rsid w:val="004A37DE"/>
    <w:rsid w:val="004B09FC"/>
    <w:rsid w:val="004B12D6"/>
    <w:rsid w:val="004B3E42"/>
    <w:rsid w:val="004B5470"/>
    <w:rsid w:val="004B6798"/>
    <w:rsid w:val="004C0A2E"/>
    <w:rsid w:val="004C1601"/>
    <w:rsid w:val="004C3099"/>
    <w:rsid w:val="004C38A8"/>
    <w:rsid w:val="004C7B37"/>
    <w:rsid w:val="004D17C9"/>
    <w:rsid w:val="004D3578"/>
    <w:rsid w:val="004E213A"/>
    <w:rsid w:val="004E2D77"/>
    <w:rsid w:val="004E38CC"/>
    <w:rsid w:val="004E39C4"/>
    <w:rsid w:val="004E54A2"/>
    <w:rsid w:val="004E5703"/>
    <w:rsid w:val="004E7494"/>
    <w:rsid w:val="004E7FD6"/>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38C8"/>
    <w:rsid w:val="00524449"/>
    <w:rsid w:val="00524F5B"/>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6676A"/>
    <w:rsid w:val="0057261C"/>
    <w:rsid w:val="00572A94"/>
    <w:rsid w:val="00572E14"/>
    <w:rsid w:val="00574533"/>
    <w:rsid w:val="005759F9"/>
    <w:rsid w:val="005767D7"/>
    <w:rsid w:val="005837C8"/>
    <w:rsid w:val="005861FD"/>
    <w:rsid w:val="00590D4B"/>
    <w:rsid w:val="0059102D"/>
    <w:rsid w:val="00591F72"/>
    <w:rsid w:val="00592DE0"/>
    <w:rsid w:val="00594E31"/>
    <w:rsid w:val="0059619E"/>
    <w:rsid w:val="005973BE"/>
    <w:rsid w:val="00597F10"/>
    <w:rsid w:val="005A0754"/>
    <w:rsid w:val="005A184B"/>
    <w:rsid w:val="005A49AA"/>
    <w:rsid w:val="005A5986"/>
    <w:rsid w:val="005B1383"/>
    <w:rsid w:val="005B2B6A"/>
    <w:rsid w:val="005B2F7C"/>
    <w:rsid w:val="005B35AC"/>
    <w:rsid w:val="005B5018"/>
    <w:rsid w:val="005B5923"/>
    <w:rsid w:val="005C13CE"/>
    <w:rsid w:val="005C5712"/>
    <w:rsid w:val="005C6D6D"/>
    <w:rsid w:val="005C7D64"/>
    <w:rsid w:val="005D0294"/>
    <w:rsid w:val="005D27B5"/>
    <w:rsid w:val="005D2E01"/>
    <w:rsid w:val="005D4624"/>
    <w:rsid w:val="005D52B4"/>
    <w:rsid w:val="005D5574"/>
    <w:rsid w:val="005D5BCA"/>
    <w:rsid w:val="005D620E"/>
    <w:rsid w:val="005D7526"/>
    <w:rsid w:val="005E0910"/>
    <w:rsid w:val="005E1B49"/>
    <w:rsid w:val="005E3233"/>
    <w:rsid w:val="005E3496"/>
    <w:rsid w:val="005E41D5"/>
    <w:rsid w:val="005E5E5E"/>
    <w:rsid w:val="005E69AE"/>
    <w:rsid w:val="005F1C45"/>
    <w:rsid w:val="005F3283"/>
    <w:rsid w:val="005F388A"/>
    <w:rsid w:val="005F3E4E"/>
    <w:rsid w:val="005F5463"/>
    <w:rsid w:val="005F6F36"/>
    <w:rsid w:val="005F7035"/>
    <w:rsid w:val="00600F4B"/>
    <w:rsid w:val="00602AEA"/>
    <w:rsid w:val="00607E3C"/>
    <w:rsid w:val="00612410"/>
    <w:rsid w:val="00614E37"/>
    <w:rsid w:val="00614FDF"/>
    <w:rsid w:val="00621074"/>
    <w:rsid w:val="006212AD"/>
    <w:rsid w:val="006246A7"/>
    <w:rsid w:val="0062595A"/>
    <w:rsid w:val="0063543D"/>
    <w:rsid w:val="0063688C"/>
    <w:rsid w:val="006369F5"/>
    <w:rsid w:val="00636C1B"/>
    <w:rsid w:val="00642297"/>
    <w:rsid w:val="00645891"/>
    <w:rsid w:val="00645B80"/>
    <w:rsid w:val="006470CB"/>
    <w:rsid w:val="00647114"/>
    <w:rsid w:val="00650557"/>
    <w:rsid w:val="00652E54"/>
    <w:rsid w:val="006546A3"/>
    <w:rsid w:val="006633B2"/>
    <w:rsid w:val="00667FCD"/>
    <w:rsid w:val="00670D68"/>
    <w:rsid w:val="0067193B"/>
    <w:rsid w:val="00673EF2"/>
    <w:rsid w:val="006777F3"/>
    <w:rsid w:val="00677B76"/>
    <w:rsid w:val="006800C1"/>
    <w:rsid w:val="00682719"/>
    <w:rsid w:val="00690379"/>
    <w:rsid w:val="00690E24"/>
    <w:rsid w:val="00691014"/>
    <w:rsid w:val="00692B48"/>
    <w:rsid w:val="00695ACB"/>
    <w:rsid w:val="0069676C"/>
    <w:rsid w:val="006974B3"/>
    <w:rsid w:val="006A323F"/>
    <w:rsid w:val="006A4C43"/>
    <w:rsid w:val="006A5B00"/>
    <w:rsid w:val="006B30D0"/>
    <w:rsid w:val="006B7D66"/>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111E"/>
    <w:rsid w:val="006F32C4"/>
    <w:rsid w:val="006F4144"/>
    <w:rsid w:val="006F4483"/>
    <w:rsid w:val="006F7F5A"/>
    <w:rsid w:val="0070019F"/>
    <w:rsid w:val="00700CF5"/>
    <w:rsid w:val="00701BF6"/>
    <w:rsid w:val="007026F3"/>
    <w:rsid w:val="00703061"/>
    <w:rsid w:val="007072BE"/>
    <w:rsid w:val="00713C44"/>
    <w:rsid w:val="0071576F"/>
    <w:rsid w:val="00723101"/>
    <w:rsid w:val="00723949"/>
    <w:rsid w:val="00724089"/>
    <w:rsid w:val="00730928"/>
    <w:rsid w:val="00730A22"/>
    <w:rsid w:val="00730ED4"/>
    <w:rsid w:val="00732096"/>
    <w:rsid w:val="00734A5B"/>
    <w:rsid w:val="00740136"/>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1D94"/>
    <w:rsid w:val="00774DA4"/>
    <w:rsid w:val="00776727"/>
    <w:rsid w:val="00781F0F"/>
    <w:rsid w:val="007822F4"/>
    <w:rsid w:val="00783C23"/>
    <w:rsid w:val="00787A9F"/>
    <w:rsid w:val="00793210"/>
    <w:rsid w:val="00795BC5"/>
    <w:rsid w:val="00796F12"/>
    <w:rsid w:val="007A113D"/>
    <w:rsid w:val="007A297D"/>
    <w:rsid w:val="007A3785"/>
    <w:rsid w:val="007A5A83"/>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7F6B15"/>
    <w:rsid w:val="00801109"/>
    <w:rsid w:val="0080113F"/>
    <w:rsid w:val="008028A4"/>
    <w:rsid w:val="00802C01"/>
    <w:rsid w:val="00806769"/>
    <w:rsid w:val="00811CD6"/>
    <w:rsid w:val="00812E81"/>
    <w:rsid w:val="00813A91"/>
    <w:rsid w:val="00820B25"/>
    <w:rsid w:val="00822E73"/>
    <w:rsid w:val="0082378A"/>
    <w:rsid w:val="00823B74"/>
    <w:rsid w:val="008272CE"/>
    <w:rsid w:val="00830747"/>
    <w:rsid w:val="008321F9"/>
    <w:rsid w:val="0083542B"/>
    <w:rsid w:val="0084144D"/>
    <w:rsid w:val="00845252"/>
    <w:rsid w:val="0084603C"/>
    <w:rsid w:val="0085063B"/>
    <w:rsid w:val="00850EF7"/>
    <w:rsid w:val="00854961"/>
    <w:rsid w:val="008621D8"/>
    <w:rsid w:val="00863C72"/>
    <w:rsid w:val="00866877"/>
    <w:rsid w:val="00866E39"/>
    <w:rsid w:val="00872482"/>
    <w:rsid w:val="00872DD1"/>
    <w:rsid w:val="008768CA"/>
    <w:rsid w:val="00881CD0"/>
    <w:rsid w:val="00881CD6"/>
    <w:rsid w:val="00883455"/>
    <w:rsid w:val="008843A2"/>
    <w:rsid w:val="0088453B"/>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C6A30"/>
    <w:rsid w:val="008D04DD"/>
    <w:rsid w:val="008D1D1C"/>
    <w:rsid w:val="008D2E9F"/>
    <w:rsid w:val="008D41E2"/>
    <w:rsid w:val="008D588A"/>
    <w:rsid w:val="008D7F80"/>
    <w:rsid w:val="008E3D0D"/>
    <w:rsid w:val="008E6E8C"/>
    <w:rsid w:val="008E7986"/>
    <w:rsid w:val="008F0D3D"/>
    <w:rsid w:val="008F0E85"/>
    <w:rsid w:val="008F2044"/>
    <w:rsid w:val="008F3CDD"/>
    <w:rsid w:val="0090271F"/>
    <w:rsid w:val="00902E23"/>
    <w:rsid w:val="009030F1"/>
    <w:rsid w:val="009035DB"/>
    <w:rsid w:val="00903EF6"/>
    <w:rsid w:val="009076EE"/>
    <w:rsid w:val="00910BC7"/>
    <w:rsid w:val="00911145"/>
    <w:rsid w:val="009114D7"/>
    <w:rsid w:val="00912C69"/>
    <w:rsid w:val="0091348E"/>
    <w:rsid w:val="00913AC2"/>
    <w:rsid w:val="00914CEF"/>
    <w:rsid w:val="00914DDA"/>
    <w:rsid w:val="00917CCB"/>
    <w:rsid w:val="009205B7"/>
    <w:rsid w:val="00920C02"/>
    <w:rsid w:val="009219A3"/>
    <w:rsid w:val="0092285B"/>
    <w:rsid w:val="00922D05"/>
    <w:rsid w:val="009279B4"/>
    <w:rsid w:val="00931553"/>
    <w:rsid w:val="00935D71"/>
    <w:rsid w:val="00937382"/>
    <w:rsid w:val="00940D43"/>
    <w:rsid w:val="009415AC"/>
    <w:rsid w:val="00942EC2"/>
    <w:rsid w:val="0094373D"/>
    <w:rsid w:val="00945132"/>
    <w:rsid w:val="00945B01"/>
    <w:rsid w:val="00946D3E"/>
    <w:rsid w:val="009516F6"/>
    <w:rsid w:val="00951A2E"/>
    <w:rsid w:val="00955C25"/>
    <w:rsid w:val="0095616A"/>
    <w:rsid w:val="0095641F"/>
    <w:rsid w:val="00960253"/>
    <w:rsid w:val="00960E66"/>
    <w:rsid w:val="00966007"/>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40B3"/>
    <w:rsid w:val="009A598E"/>
    <w:rsid w:val="009B1DBF"/>
    <w:rsid w:val="009B2332"/>
    <w:rsid w:val="009B402C"/>
    <w:rsid w:val="009B65C0"/>
    <w:rsid w:val="009C067E"/>
    <w:rsid w:val="009C1FD6"/>
    <w:rsid w:val="009C2464"/>
    <w:rsid w:val="009C2C1B"/>
    <w:rsid w:val="009C5E4C"/>
    <w:rsid w:val="009D3B48"/>
    <w:rsid w:val="009D3F00"/>
    <w:rsid w:val="009E2C61"/>
    <w:rsid w:val="009E3057"/>
    <w:rsid w:val="009E3306"/>
    <w:rsid w:val="009E4032"/>
    <w:rsid w:val="009E7750"/>
    <w:rsid w:val="009F10E5"/>
    <w:rsid w:val="009F37B7"/>
    <w:rsid w:val="009F5009"/>
    <w:rsid w:val="009F55B3"/>
    <w:rsid w:val="009F5E43"/>
    <w:rsid w:val="009F6E2F"/>
    <w:rsid w:val="00A00A29"/>
    <w:rsid w:val="00A00F77"/>
    <w:rsid w:val="00A01247"/>
    <w:rsid w:val="00A05AB6"/>
    <w:rsid w:val="00A06A65"/>
    <w:rsid w:val="00A06CA4"/>
    <w:rsid w:val="00A103D8"/>
    <w:rsid w:val="00A108F9"/>
    <w:rsid w:val="00A10F02"/>
    <w:rsid w:val="00A12136"/>
    <w:rsid w:val="00A1260C"/>
    <w:rsid w:val="00A15BD4"/>
    <w:rsid w:val="00A164B4"/>
    <w:rsid w:val="00A17706"/>
    <w:rsid w:val="00A200FA"/>
    <w:rsid w:val="00A20B73"/>
    <w:rsid w:val="00A243C8"/>
    <w:rsid w:val="00A26956"/>
    <w:rsid w:val="00A26B8E"/>
    <w:rsid w:val="00A27CF6"/>
    <w:rsid w:val="00A309A6"/>
    <w:rsid w:val="00A3236C"/>
    <w:rsid w:val="00A32451"/>
    <w:rsid w:val="00A36357"/>
    <w:rsid w:val="00A42D4C"/>
    <w:rsid w:val="00A4526E"/>
    <w:rsid w:val="00A475ED"/>
    <w:rsid w:val="00A5077F"/>
    <w:rsid w:val="00A52241"/>
    <w:rsid w:val="00A529B2"/>
    <w:rsid w:val="00A53251"/>
    <w:rsid w:val="00A53724"/>
    <w:rsid w:val="00A54887"/>
    <w:rsid w:val="00A556DB"/>
    <w:rsid w:val="00A63895"/>
    <w:rsid w:val="00A6585D"/>
    <w:rsid w:val="00A6586F"/>
    <w:rsid w:val="00A66D34"/>
    <w:rsid w:val="00A73129"/>
    <w:rsid w:val="00A73EDB"/>
    <w:rsid w:val="00A75F77"/>
    <w:rsid w:val="00A801B4"/>
    <w:rsid w:val="00A814E0"/>
    <w:rsid w:val="00A81515"/>
    <w:rsid w:val="00A8227B"/>
    <w:rsid w:val="00A82346"/>
    <w:rsid w:val="00A86DA6"/>
    <w:rsid w:val="00A90AB9"/>
    <w:rsid w:val="00A92BA1"/>
    <w:rsid w:val="00A93F67"/>
    <w:rsid w:val="00A9582B"/>
    <w:rsid w:val="00AA0A82"/>
    <w:rsid w:val="00AB0E32"/>
    <w:rsid w:val="00AB25FE"/>
    <w:rsid w:val="00AB2852"/>
    <w:rsid w:val="00AB3AF4"/>
    <w:rsid w:val="00AC176F"/>
    <w:rsid w:val="00AC30FF"/>
    <w:rsid w:val="00AC3A0D"/>
    <w:rsid w:val="00AC3F6A"/>
    <w:rsid w:val="00AC4113"/>
    <w:rsid w:val="00AC6BC6"/>
    <w:rsid w:val="00AD1F6C"/>
    <w:rsid w:val="00AD30A9"/>
    <w:rsid w:val="00AD32F4"/>
    <w:rsid w:val="00AD3CE6"/>
    <w:rsid w:val="00AD7733"/>
    <w:rsid w:val="00AE24D1"/>
    <w:rsid w:val="00AE2C35"/>
    <w:rsid w:val="00AE2CF3"/>
    <w:rsid w:val="00AE3039"/>
    <w:rsid w:val="00AE3797"/>
    <w:rsid w:val="00AE6DAB"/>
    <w:rsid w:val="00AF0800"/>
    <w:rsid w:val="00AF4E68"/>
    <w:rsid w:val="00AF6C6F"/>
    <w:rsid w:val="00AF7A5E"/>
    <w:rsid w:val="00B01C1E"/>
    <w:rsid w:val="00B06987"/>
    <w:rsid w:val="00B12ADA"/>
    <w:rsid w:val="00B137ED"/>
    <w:rsid w:val="00B15449"/>
    <w:rsid w:val="00B226C7"/>
    <w:rsid w:val="00B23FC5"/>
    <w:rsid w:val="00B30D17"/>
    <w:rsid w:val="00B30E18"/>
    <w:rsid w:val="00B31AF8"/>
    <w:rsid w:val="00B31EAB"/>
    <w:rsid w:val="00B3313E"/>
    <w:rsid w:val="00B34AF8"/>
    <w:rsid w:val="00B35701"/>
    <w:rsid w:val="00B3794F"/>
    <w:rsid w:val="00B40A30"/>
    <w:rsid w:val="00B40D79"/>
    <w:rsid w:val="00B418CD"/>
    <w:rsid w:val="00B42610"/>
    <w:rsid w:val="00B42970"/>
    <w:rsid w:val="00B43710"/>
    <w:rsid w:val="00B439C4"/>
    <w:rsid w:val="00B43A44"/>
    <w:rsid w:val="00B45561"/>
    <w:rsid w:val="00B45BF1"/>
    <w:rsid w:val="00B45F2F"/>
    <w:rsid w:val="00B5091E"/>
    <w:rsid w:val="00B509ED"/>
    <w:rsid w:val="00B521BD"/>
    <w:rsid w:val="00B52DD2"/>
    <w:rsid w:val="00B53303"/>
    <w:rsid w:val="00B54890"/>
    <w:rsid w:val="00B57A69"/>
    <w:rsid w:val="00B57EC0"/>
    <w:rsid w:val="00B6028B"/>
    <w:rsid w:val="00B60AF5"/>
    <w:rsid w:val="00B62C6F"/>
    <w:rsid w:val="00B62F65"/>
    <w:rsid w:val="00B66212"/>
    <w:rsid w:val="00B72A82"/>
    <w:rsid w:val="00B7661E"/>
    <w:rsid w:val="00B76CA8"/>
    <w:rsid w:val="00B76F6D"/>
    <w:rsid w:val="00B77756"/>
    <w:rsid w:val="00B81CF7"/>
    <w:rsid w:val="00B848D4"/>
    <w:rsid w:val="00B84C46"/>
    <w:rsid w:val="00B851D2"/>
    <w:rsid w:val="00B86EA0"/>
    <w:rsid w:val="00B9159B"/>
    <w:rsid w:val="00B918A8"/>
    <w:rsid w:val="00B92026"/>
    <w:rsid w:val="00B93086"/>
    <w:rsid w:val="00B94402"/>
    <w:rsid w:val="00B94FCE"/>
    <w:rsid w:val="00B9682C"/>
    <w:rsid w:val="00B97442"/>
    <w:rsid w:val="00B97F57"/>
    <w:rsid w:val="00BA1501"/>
    <w:rsid w:val="00BA19ED"/>
    <w:rsid w:val="00BA1B8A"/>
    <w:rsid w:val="00BA300B"/>
    <w:rsid w:val="00BA4B8D"/>
    <w:rsid w:val="00BA5966"/>
    <w:rsid w:val="00BB0B86"/>
    <w:rsid w:val="00BB13E8"/>
    <w:rsid w:val="00BB2412"/>
    <w:rsid w:val="00BB3EF4"/>
    <w:rsid w:val="00BC0F7D"/>
    <w:rsid w:val="00BC155B"/>
    <w:rsid w:val="00BC1C56"/>
    <w:rsid w:val="00BC3990"/>
    <w:rsid w:val="00BD25F6"/>
    <w:rsid w:val="00BD3F17"/>
    <w:rsid w:val="00BD4B06"/>
    <w:rsid w:val="00BD56A7"/>
    <w:rsid w:val="00BD5FE5"/>
    <w:rsid w:val="00BD6168"/>
    <w:rsid w:val="00BD6A42"/>
    <w:rsid w:val="00BD6C61"/>
    <w:rsid w:val="00BD7355"/>
    <w:rsid w:val="00BE0421"/>
    <w:rsid w:val="00BE3255"/>
    <w:rsid w:val="00BE3F0E"/>
    <w:rsid w:val="00BF128E"/>
    <w:rsid w:val="00BF1D0B"/>
    <w:rsid w:val="00BF41A6"/>
    <w:rsid w:val="00C013D6"/>
    <w:rsid w:val="00C03F8A"/>
    <w:rsid w:val="00C04C47"/>
    <w:rsid w:val="00C1194C"/>
    <w:rsid w:val="00C119FD"/>
    <w:rsid w:val="00C1496A"/>
    <w:rsid w:val="00C15897"/>
    <w:rsid w:val="00C246BA"/>
    <w:rsid w:val="00C260C6"/>
    <w:rsid w:val="00C27A92"/>
    <w:rsid w:val="00C27E8E"/>
    <w:rsid w:val="00C27F76"/>
    <w:rsid w:val="00C3104A"/>
    <w:rsid w:val="00C31091"/>
    <w:rsid w:val="00C33079"/>
    <w:rsid w:val="00C379D8"/>
    <w:rsid w:val="00C428A8"/>
    <w:rsid w:val="00C4354A"/>
    <w:rsid w:val="00C45231"/>
    <w:rsid w:val="00C50C74"/>
    <w:rsid w:val="00C5262E"/>
    <w:rsid w:val="00C5359F"/>
    <w:rsid w:val="00C5685D"/>
    <w:rsid w:val="00C60513"/>
    <w:rsid w:val="00C61D1C"/>
    <w:rsid w:val="00C62365"/>
    <w:rsid w:val="00C643EE"/>
    <w:rsid w:val="00C724F5"/>
    <w:rsid w:val="00C72833"/>
    <w:rsid w:val="00C73514"/>
    <w:rsid w:val="00C74AFF"/>
    <w:rsid w:val="00C776A4"/>
    <w:rsid w:val="00C77A33"/>
    <w:rsid w:val="00C80F1D"/>
    <w:rsid w:val="00C82550"/>
    <w:rsid w:val="00C844B1"/>
    <w:rsid w:val="00C87527"/>
    <w:rsid w:val="00C901CB"/>
    <w:rsid w:val="00C925D7"/>
    <w:rsid w:val="00C928B4"/>
    <w:rsid w:val="00C92F61"/>
    <w:rsid w:val="00C93F40"/>
    <w:rsid w:val="00C97F2B"/>
    <w:rsid w:val="00CA0BC6"/>
    <w:rsid w:val="00CA1C65"/>
    <w:rsid w:val="00CA3D0C"/>
    <w:rsid w:val="00CA3F1F"/>
    <w:rsid w:val="00CA4BE4"/>
    <w:rsid w:val="00CB1FA9"/>
    <w:rsid w:val="00CB45AB"/>
    <w:rsid w:val="00CB5B72"/>
    <w:rsid w:val="00CB66BA"/>
    <w:rsid w:val="00CC3BA1"/>
    <w:rsid w:val="00CC42C6"/>
    <w:rsid w:val="00CC4FD3"/>
    <w:rsid w:val="00CC5A27"/>
    <w:rsid w:val="00CC756D"/>
    <w:rsid w:val="00CC760C"/>
    <w:rsid w:val="00CD1191"/>
    <w:rsid w:val="00CD14E9"/>
    <w:rsid w:val="00CD4B25"/>
    <w:rsid w:val="00CD4BE0"/>
    <w:rsid w:val="00CD5226"/>
    <w:rsid w:val="00CD6FF5"/>
    <w:rsid w:val="00CD7B5B"/>
    <w:rsid w:val="00CE035B"/>
    <w:rsid w:val="00CE0F97"/>
    <w:rsid w:val="00CE7369"/>
    <w:rsid w:val="00CF20E3"/>
    <w:rsid w:val="00D00F2B"/>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46DF8"/>
    <w:rsid w:val="00D54B60"/>
    <w:rsid w:val="00D553ED"/>
    <w:rsid w:val="00D56A52"/>
    <w:rsid w:val="00D57972"/>
    <w:rsid w:val="00D60C50"/>
    <w:rsid w:val="00D6107D"/>
    <w:rsid w:val="00D645AF"/>
    <w:rsid w:val="00D65F45"/>
    <w:rsid w:val="00D671FD"/>
    <w:rsid w:val="00D675A9"/>
    <w:rsid w:val="00D738D6"/>
    <w:rsid w:val="00D7485F"/>
    <w:rsid w:val="00D755EB"/>
    <w:rsid w:val="00D77E92"/>
    <w:rsid w:val="00D80C1A"/>
    <w:rsid w:val="00D821E5"/>
    <w:rsid w:val="00D8602A"/>
    <w:rsid w:val="00D867DB"/>
    <w:rsid w:val="00D870E5"/>
    <w:rsid w:val="00D87812"/>
    <w:rsid w:val="00D87E00"/>
    <w:rsid w:val="00D907F9"/>
    <w:rsid w:val="00D9134D"/>
    <w:rsid w:val="00D91888"/>
    <w:rsid w:val="00D91D0F"/>
    <w:rsid w:val="00D91F07"/>
    <w:rsid w:val="00DA2BE3"/>
    <w:rsid w:val="00DA3BC8"/>
    <w:rsid w:val="00DA53EF"/>
    <w:rsid w:val="00DA62A4"/>
    <w:rsid w:val="00DA7A03"/>
    <w:rsid w:val="00DB12EC"/>
    <w:rsid w:val="00DB13D0"/>
    <w:rsid w:val="00DB1818"/>
    <w:rsid w:val="00DB2CFF"/>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306A"/>
    <w:rsid w:val="00DE6BE6"/>
    <w:rsid w:val="00DF2B1F"/>
    <w:rsid w:val="00DF5AD0"/>
    <w:rsid w:val="00DF5EE8"/>
    <w:rsid w:val="00DF6189"/>
    <w:rsid w:val="00DF62CD"/>
    <w:rsid w:val="00DF67C5"/>
    <w:rsid w:val="00DF74A8"/>
    <w:rsid w:val="00E003A9"/>
    <w:rsid w:val="00E022C8"/>
    <w:rsid w:val="00E033B1"/>
    <w:rsid w:val="00E06308"/>
    <w:rsid w:val="00E06ECF"/>
    <w:rsid w:val="00E12073"/>
    <w:rsid w:val="00E124D0"/>
    <w:rsid w:val="00E13876"/>
    <w:rsid w:val="00E142B7"/>
    <w:rsid w:val="00E14634"/>
    <w:rsid w:val="00E15622"/>
    <w:rsid w:val="00E16509"/>
    <w:rsid w:val="00E17392"/>
    <w:rsid w:val="00E17541"/>
    <w:rsid w:val="00E176F5"/>
    <w:rsid w:val="00E21BDD"/>
    <w:rsid w:val="00E2363F"/>
    <w:rsid w:val="00E24E3B"/>
    <w:rsid w:val="00E27B54"/>
    <w:rsid w:val="00E31772"/>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4930"/>
    <w:rsid w:val="00E55B2C"/>
    <w:rsid w:val="00E56C84"/>
    <w:rsid w:val="00E56FFC"/>
    <w:rsid w:val="00E603C1"/>
    <w:rsid w:val="00E64EB8"/>
    <w:rsid w:val="00E65966"/>
    <w:rsid w:val="00E65AAE"/>
    <w:rsid w:val="00E67FF7"/>
    <w:rsid w:val="00E70295"/>
    <w:rsid w:val="00E71D42"/>
    <w:rsid w:val="00E72324"/>
    <w:rsid w:val="00E72ABE"/>
    <w:rsid w:val="00E75C1B"/>
    <w:rsid w:val="00E76BD1"/>
    <w:rsid w:val="00E77364"/>
    <w:rsid w:val="00E77645"/>
    <w:rsid w:val="00E803C2"/>
    <w:rsid w:val="00E80DE4"/>
    <w:rsid w:val="00E81E8F"/>
    <w:rsid w:val="00E82623"/>
    <w:rsid w:val="00E82BB1"/>
    <w:rsid w:val="00E8309B"/>
    <w:rsid w:val="00E879EE"/>
    <w:rsid w:val="00E92F48"/>
    <w:rsid w:val="00E94B98"/>
    <w:rsid w:val="00E9599A"/>
    <w:rsid w:val="00E9649F"/>
    <w:rsid w:val="00E97146"/>
    <w:rsid w:val="00EA4155"/>
    <w:rsid w:val="00EA6749"/>
    <w:rsid w:val="00EB161B"/>
    <w:rsid w:val="00EB22F4"/>
    <w:rsid w:val="00EB2FC2"/>
    <w:rsid w:val="00EB47FE"/>
    <w:rsid w:val="00EB7C11"/>
    <w:rsid w:val="00EC1E93"/>
    <w:rsid w:val="00EC245A"/>
    <w:rsid w:val="00EC2729"/>
    <w:rsid w:val="00EC3517"/>
    <w:rsid w:val="00EC4A25"/>
    <w:rsid w:val="00EC6DC1"/>
    <w:rsid w:val="00ED1C22"/>
    <w:rsid w:val="00ED2846"/>
    <w:rsid w:val="00ED3052"/>
    <w:rsid w:val="00ED4894"/>
    <w:rsid w:val="00EE56AB"/>
    <w:rsid w:val="00EE5AA7"/>
    <w:rsid w:val="00EE5D8F"/>
    <w:rsid w:val="00EE74D3"/>
    <w:rsid w:val="00EF0011"/>
    <w:rsid w:val="00EF09B4"/>
    <w:rsid w:val="00EF4F19"/>
    <w:rsid w:val="00EF6895"/>
    <w:rsid w:val="00EF6984"/>
    <w:rsid w:val="00EF76F3"/>
    <w:rsid w:val="00EF7828"/>
    <w:rsid w:val="00F015A4"/>
    <w:rsid w:val="00F025A2"/>
    <w:rsid w:val="00F04712"/>
    <w:rsid w:val="00F10B1F"/>
    <w:rsid w:val="00F141EA"/>
    <w:rsid w:val="00F16DDC"/>
    <w:rsid w:val="00F209B1"/>
    <w:rsid w:val="00F21311"/>
    <w:rsid w:val="00F21980"/>
    <w:rsid w:val="00F220BD"/>
    <w:rsid w:val="00F221BE"/>
    <w:rsid w:val="00F22EC7"/>
    <w:rsid w:val="00F273D3"/>
    <w:rsid w:val="00F3035A"/>
    <w:rsid w:val="00F325C8"/>
    <w:rsid w:val="00F32778"/>
    <w:rsid w:val="00F34AD4"/>
    <w:rsid w:val="00F37628"/>
    <w:rsid w:val="00F402C7"/>
    <w:rsid w:val="00F40958"/>
    <w:rsid w:val="00F41CD7"/>
    <w:rsid w:val="00F42EA6"/>
    <w:rsid w:val="00F42F72"/>
    <w:rsid w:val="00F465DF"/>
    <w:rsid w:val="00F4799F"/>
    <w:rsid w:val="00F47DB4"/>
    <w:rsid w:val="00F50F72"/>
    <w:rsid w:val="00F5450C"/>
    <w:rsid w:val="00F56D57"/>
    <w:rsid w:val="00F61B4D"/>
    <w:rsid w:val="00F62AEB"/>
    <w:rsid w:val="00F6521B"/>
    <w:rsid w:val="00F653B8"/>
    <w:rsid w:val="00F66303"/>
    <w:rsid w:val="00F70647"/>
    <w:rsid w:val="00F73852"/>
    <w:rsid w:val="00F7420E"/>
    <w:rsid w:val="00F77382"/>
    <w:rsid w:val="00F77710"/>
    <w:rsid w:val="00F851B0"/>
    <w:rsid w:val="00F86361"/>
    <w:rsid w:val="00F8688A"/>
    <w:rsid w:val="00F87FF5"/>
    <w:rsid w:val="00F92DB0"/>
    <w:rsid w:val="00F9377C"/>
    <w:rsid w:val="00F95CA0"/>
    <w:rsid w:val="00F95EDB"/>
    <w:rsid w:val="00F96804"/>
    <w:rsid w:val="00FA0D1A"/>
    <w:rsid w:val="00FA0DFF"/>
    <w:rsid w:val="00FA1266"/>
    <w:rsid w:val="00FA35E1"/>
    <w:rsid w:val="00FA7625"/>
    <w:rsid w:val="00FB1CFB"/>
    <w:rsid w:val="00FB2C76"/>
    <w:rsid w:val="00FB3529"/>
    <w:rsid w:val="00FB4364"/>
    <w:rsid w:val="00FB4C0B"/>
    <w:rsid w:val="00FB68AC"/>
    <w:rsid w:val="00FC1192"/>
    <w:rsid w:val="00FC346D"/>
    <w:rsid w:val="00FC371C"/>
    <w:rsid w:val="00FC5795"/>
    <w:rsid w:val="00FC59FD"/>
    <w:rsid w:val="00FC7334"/>
    <w:rsid w:val="00FD0D5A"/>
    <w:rsid w:val="00FD12FB"/>
    <w:rsid w:val="00FD2B0B"/>
    <w:rsid w:val="00FD324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2019-02-25T14:05:00Z</cp:lastPrinted>
  <dcterms:created xsi:type="dcterms:W3CDTF">2025-02-06T13:02:00Z</dcterms:created>
  <dcterms:modified xsi:type="dcterms:W3CDTF">2025-02-07T09:16:00Z</dcterms:modified>
  <cp:category/>
</cp:coreProperties>
</file>